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«Мособлгаз»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(тыс.куб.м.)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B72F32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246D39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246D39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210 457,52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4D5D55" w:rsidRPr="00DF40E5" w:rsidRDefault="00A7759B" w:rsidP="0024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 №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24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246D39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131,943</w:t>
            </w:r>
          </w:p>
        </w:tc>
        <w:tc>
          <w:tcPr>
            <w:tcW w:w="1276" w:type="dxa"/>
            <w:vAlign w:val="center"/>
          </w:tcPr>
          <w:p w:rsidR="004D5D55" w:rsidRPr="00917EC1" w:rsidRDefault="00246D39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r w:rsidR="00B72F32">
        <w:rPr>
          <w:sz w:val="21"/>
          <w:szCs w:val="21"/>
          <w:u w:val="single"/>
        </w:rPr>
        <w:t>Толмакова М.С.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1CE3-C554-4253-9624-0833276A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32</cp:revision>
  <cp:lastPrinted>2024-03-11T14:38:00Z</cp:lastPrinted>
  <dcterms:created xsi:type="dcterms:W3CDTF">2022-04-07T12:46:00Z</dcterms:created>
  <dcterms:modified xsi:type="dcterms:W3CDTF">2024-03-11T14:39:00Z</dcterms:modified>
</cp:coreProperties>
</file>